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Anticuerpos" color2="#f2f6fc" recolor="t" type="frame"/>
    </v:background>
  </w:background>
  <w:body>
    <w:p w:rsidR="00865043" w:rsidRDefault="002211BF" w:rsidP="00AA1CD2">
      <w:pPr>
        <w:spacing w:after="0"/>
        <w:jc w:val="center"/>
        <w:rPr>
          <w:rFonts w:ascii="Berlin Sans FB Demi" w:hAnsi="Berlin Sans FB Demi"/>
          <w:b/>
          <w:color w:val="548DD4" w:themeColor="text2" w:themeTint="99"/>
          <w:sz w:val="48"/>
          <w:szCs w:val="48"/>
        </w:rPr>
      </w:pPr>
      <w:r w:rsidRPr="002211BF">
        <w:rPr>
          <w:rFonts w:ascii="Berlin Sans FB Demi" w:hAnsi="Berlin Sans FB Demi"/>
          <w:b/>
          <w:noProof/>
          <w:color w:val="000000" w:themeColor="text1"/>
          <w:sz w:val="48"/>
          <w:szCs w:val="48"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8.05pt;margin-top:-28.5pt;width:511pt;height:62pt;z-index:251671552">
            <v:textbox style="mso-next-textbox:#_x0000_s1040">
              <w:txbxContent>
                <w:p w:rsidR="00AB0622" w:rsidRPr="00AB0622" w:rsidRDefault="00AB0622" w:rsidP="00AB0622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color w:val="000000" w:themeColor="text1"/>
                      <w:sz w:val="52"/>
                      <w:szCs w:val="52"/>
                    </w:rPr>
                  </w:pPr>
                  <w:r w:rsidRPr="00AB0622">
                    <w:rPr>
                      <w:rFonts w:ascii="Berlin Sans FB" w:hAnsi="Berlin Sans FB"/>
                      <w:b/>
                      <w:color w:val="000000" w:themeColor="text1"/>
                      <w:sz w:val="52"/>
                      <w:szCs w:val="52"/>
                    </w:rPr>
                    <w:t>ANTICUERPOS CONTRA ANTÍGENOS</w:t>
                  </w:r>
                </w:p>
                <w:p w:rsidR="00AB0622" w:rsidRPr="00AB0622" w:rsidRDefault="00AB0622" w:rsidP="00AB0622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i/>
                      <w:color w:val="000000" w:themeColor="text1"/>
                      <w:sz w:val="24"/>
                      <w:szCs w:val="24"/>
                    </w:rPr>
                  </w:pPr>
                  <w:r w:rsidRPr="00AB0622">
                    <w:rPr>
                      <w:rFonts w:ascii="Berlin Sans FB" w:hAnsi="Berlin Sans FB"/>
                      <w:i/>
                      <w:color w:val="000000" w:themeColor="text1"/>
                      <w:sz w:val="24"/>
                      <w:szCs w:val="24"/>
                    </w:rPr>
                    <w:t>DETERMINACIÓN DE ANTICUERPOS EN LA PROVINCIA DE SORIA EN LOS ÚLTIMOS TRES AÑOS</w:t>
                  </w:r>
                </w:p>
              </w:txbxContent>
            </v:textbox>
          </v:shape>
        </w:pict>
      </w:r>
    </w:p>
    <w:p w:rsidR="004E002D" w:rsidRDefault="002211BF" w:rsidP="00865043">
      <w:pPr>
        <w:jc w:val="center"/>
        <w:rPr>
          <w:rFonts w:ascii="Berlin Sans FB Demi" w:hAnsi="Berlin Sans FB Demi"/>
          <w:b/>
          <w:color w:val="548DD4" w:themeColor="text2" w:themeTint="99"/>
          <w:sz w:val="48"/>
          <w:szCs w:val="48"/>
        </w:rPr>
      </w:pPr>
      <w:r>
        <w:rPr>
          <w:rFonts w:ascii="Berlin Sans FB Demi" w:hAnsi="Berlin Sans FB Demi"/>
          <w:b/>
          <w:noProof/>
          <w:color w:val="548DD4" w:themeColor="text2" w:themeTint="99"/>
          <w:sz w:val="48"/>
          <w:szCs w:val="48"/>
          <w:lang w:eastAsia="es-ES"/>
        </w:rPr>
        <w:pict>
          <v:rect id="_x0000_s1027" style="position:absolute;left:0;text-align:left;margin-left:257.45pt;margin-top:40.35pt;width:284.4pt;height:111pt;z-index:251660288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27">
              <w:txbxContent>
                <w:p w:rsidR="00DB27BB" w:rsidRDefault="00DB27BB" w:rsidP="00474510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Arial Narrow" w:hAnsi="Arial Narrow"/>
                    </w:rPr>
                  </w:pPr>
                  <w:r w:rsidRPr="00474510">
                    <w:rPr>
                      <w:rFonts w:ascii="Arial Narrow" w:hAnsi="Arial Narrow"/>
                      <w:b/>
                    </w:rPr>
                    <w:t>Conocer la incidencia de anticuerpos antieritrocitarios en la provincia de Soria en el periodo de tres años</w:t>
                  </w:r>
                  <w:r w:rsidRPr="00474510">
                    <w:rPr>
                      <w:rFonts w:ascii="Arial Narrow" w:hAnsi="Arial Narrow"/>
                    </w:rPr>
                    <w:t xml:space="preserve"> </w:t>
                  </w:r>
                </w:p>
                <w:p w:rsidR="00474510" w:rsidRDefault="00DB27BB" w:rsidP="00474510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Buscar </w:t>
                  </w:r>
                  <w:r w:rsidR="004E002D" w:rsidRPr="00474510">
                    <w:rPr>
                      <w:rFonts w:ascii="Arial Narrow" w:hAnsi="Arial Narrow"/>
                    </w:rPr>
                    <w:t>las medidas para evitar la aparición de anticuerpos irregulares</w:t>
                  </w:r>
                  <w:r w:rsidR="00AA1CD2" w:rsidRPr="00474510">
                    <w:rPr>
                      <w:rFonts w:ascii="Arial Narrow" w:hAnsi="Arial Narrow"/>
                    </w:rPr>
                    <w:t xml:space="preserve"> que dificulten la búsqueda de unidades</w:t>
                  </w:r>
                  <w:r w:rsidR="00474510">
                    <w:rPr>
                      <w:rFonts w:ascii="Arial Narrow" w:hAnsi="Arial Narrow"/>
                    </w:rPr>
                    <w:t>.</w:t>
                  </w:r>
                </w:p>
                <w:p w:rsidR="00474510" w:rsidRDefault="00474510" w:rsidP="00474510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Seleccionar para cada receptor los componentes sanguíneos adecuados.</w:t>
                  </w:r>
                </w:p>
                <w:p w:rsidR="004E002D" w:rsidRPr="00DB27BB" w:rsidRDefault="004E002D" w:rsidP="00DB27B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Arial Narrow" w:hAnsi="Arial Narrow"/>
                    </w:rPr>
                  </w:pPr>
                  <w:r w:rsidRPr="00474510">
                    <w:rPr>
                      <w:rFonts w:ascii="Arial Narrow" w:hAnsi="Arial Narrow"/>
                    </w:rPr>
                    <w:t xml:space="preserve">Fenotipar a los pacientes </w:t>
                  </w:r>
                  <w:proofErr w:type="spellStart"/>
                  <w:r w:rsidRPr="00474510">
                    <w:rPr>
                      <w:rFonts w:ascii="Arial Narrow" w:hAnsi="Arial Narrow"/>
                    </w:rPr>
                    <w:t>politransfundidos</w:t>
                  </w:r>
                  <w:proofErr w:type="spellEnd"/>
                  <w:r w:rsidR="00474510">
                    <w:rPr>
                      <w:rFonts w:ascii="Arial Narrow" w:hAnsi="Arial Narrow"/>
                    </w:rPr>
                    <w:t xml:space="preserve"> para prevenir </w:t>
                  </w:r>
                  <w:proofErr w:type="spellStart"/>
                  <w:r w:rsidR="00474510">
                    <w:rPr>
                      <w:rFonts w:ascii="Arial Narrow" w:hAnsi="Arial Narrow"/>
                    </w:rPr>
                    <w:t>aloinmunizaciones</w:t>
                  </w:r>
                  <w:proofErr w:type="spellEnd"/>
                  <w:r w:rsidR="00474510">
                    <w:rPr>
                      <w:rFonts w:ascii="Arial Narrow" w:hAnsi="Arial Narrow"/>
                    </w:rPr>
                    <w:t>.</w:t>
                  </w:r>
                  <w:r w:rsidRPr="00DB27BB">
                    <w:rPr>
                      <w:rFonts w:ascii="Arial Narrow" w:hAnsi="Arial Narrow"/>
                      <w:b/>
                    </w:rPr>
                    <w:t>.</w:t>
                  </w:r>
                </w:p>
                <w:p w:rsidR="004E002D" w:rsidRDefault="004E002D" w:rsidP="004E002D"/>
              </w:txbxContent>
            </v:textbox>
          </v:rect>
        </w:pict>
      </w:r>
      <w:r>
        <w:rPr>
          <w:rFonts w:ascii="Berlin Sans FB Demi" w:hAnsi="Berlin Sans FB Demi"/>
          <w:b/>
          <w:noProof/>
          <w:color w:val="548DD4" w:themeColor="text2" w:themeTint="99"/>
          <w:sz w:val="48"/>
          <w:szCs w:val="48"/>
          <w:lang w:eastAsia="es-ES"/>
        </w:rPr>
        <w:pict>
          <v:roundrect id="_x0000_s1032" style="position:absolute;left:0;text-align:left;margin-left:267.95pt;margin-top:12.35pt;width:103.75pt;height:28pt;z-index:251665408" arcsize="10923f" fillcolor="white [3201]" strokecolor="#9bbb59 [3206]" strokeweight="2.5pt">
            <v:shadow color="#868686"/>
            <o:extrusion v:ext="view" rotationangle="10"/>
            <v:textbox style="mso-next-textbox:#_x0000_s1032">
              <w:txbxContent>
                <w:p w:rsidR="00474510" w:rsidRPr="0047655C" w:rsidRDefault="00474510" w:rsidP="00474510">
                  <w:pPr>
                    <w:jc w:val="center"/>
                    <w:rPr>
                      <w:rFonts w:ascii="Utah" w:hAnsi="Utah"/>
                      <w:b/>
                      <w:sz w:val="28"/>
                      <w:szCs w:val="28"/>
                    </w:rPr>
                  </w:pPr>
                  <w:r w:rsidRPr="0047655C">
                    <w:rPr>
                      <w:rFonts w:ascii="Utah" w:hAnsi="Utah"/>
                      <w:b/>
                      <w:sz w:val="28"/>
                      <w:szCs w:val="28"/>
                    </w:rPr>
                    <w:t>OBJETIVOS</w:t>
                  </w:r>
                </w:p>
              </w:txbxContent>
            </v:textbox>
          </v:roundrect>
        </w:pict>
      </w:r>
      <w:r>
        <w:rPr>
          <w:rFonts w:ascii="Berlin Sans FB Demi" w:hAnsi="Berlin Sans FB Demi"/>
          <w:b/>
          <w:noProof/>
          <w:color w:val="548DD4" w:themeColor="text2" w:themeTint="99"/>
          <w:sz w:val="48"/>
          <w:szCs w:val="48"/>
          <w:lang w:eastAsia="es-ES"/>
        </w:rPr>
        <w:pict>
          <v:rect id="_x0000_s1026" style="position:absolute;left:0;text-align:left;margin-left:-16.55pt;margin-top:40.35pt;width:258pt;height:119.55pt;z-index:251659264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26">
              <w:txbxContent>
                <w:p w:rsidR="00AA1CD2" w:rsidRDefault="00865043" w:rsidP="00865043">
                  <w:pPr>
                    <w:spacing w:after="0" w:line="240" w:lineRule="auto"/>
                    <w:ind w:firstLine="708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4E002D">
                    <w:rPr>
                      <w:rFonts w:ascii="Arial Narrow" w:hAnsi="Arial Narrow"/>
                      <w:sz w:val="24"/>
                      <w:szCs w:val="24"/>
                    </w:rPr>
                    <w:t xml:space="preserve">La sensibilización de anticuerpos contra antígenos, pueden resultar de transfusiones previas, embarazos, trasplantes, inyecciones o material inmunológico. También puede ocurrir naturalmente. </w:t>
                  </w:r>
                  <w:r w:rsidRPr="004E00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La meta de este estudio es</w:t>
                  </w:r>
                  <w:r w:rsidRPr="004E002D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4E00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determinar la frecuencia de los anticuerpos detectados</w:t>
                  </w:r>
                  <w:r w:rsidR="004E002D"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</w:p>
                <w:p w:rsidR="0036600A" w:rsidRDefault="0036600A" w:rsidP="00865043">
                  <w:pPr>
                    <w:spacing w:after="0" w:line="240" w:lineRule="auto"/>
                    <w:ind w:firstLine="708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865043" w:rsidRPr="004E002D" w:rsidRDefault="00865043" w:rsidP="0036600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4E002D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4E002D">
                    <w:rPr>
                      <w:rFonts w:ascii="Arial Narrow" w:hAnsi="Arial Narrow"/>
                      <w:i/>
                      <w:sz w:val="18"/>
                      <w:szCs w:val="18"/>
                    </w:rPr>
                    <w:t>Trabajamos con certificación ISO 9001:2008.</w:t>
                  </w:r>
                </w:p>
                <w:p w:rsidR="00865043" w:rsidRPr="004E002D" w:rsidRDefault="00865043" w:rsidP="00865043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xbxContent>
            </v:textbox>
          </v:rect>
        </w:pict>
      </w:r>
      <w:r>
        <w:rPr>
          <w:rFonts w:ascii="Berlin Sans FB Demi" w:hAnsi="Berlin Sans FB Demi"/>
          <w:b/>
          <w:noProof/>
          <w:color w:val="548DD4" w:themeColor="text2" w:themeTint="99"/>
          <w:sz w:val="48"/>
          <w:szCs w:val="48"/>
          <w:lang w:eastAsia="es-ES"/>
        </w:rPr>
        <w:pict>
          <v:roundrect id="_x0000_s1031" style="position:absolute;left:0;text-align:left;margin-left:-7.75pt;margin-top:12.85pt;width:130.7pt;height:27.5pt;z-index:251664384" arcsize="10923f" fillcolor="white [3201]" strokecolor="#8064a2 [3207]" strokeweight="2.5pt">
            <v:shadow color="#868686"/>
            <o:extrusion v:ext="view" rotationangle="-10,25" viewpoint="0,0" viewpointorigin="0,0" skewangle="0" skewamt="0" lightposition=",50000" type="perspective"/>
            <v:textbox style="mso-next-textbox:#_x0000_s1031">
              <w:txbxContent>
                <w:p w:rsidR="00AA1CD2" w:rsidRPr="0047655C" w:rsidRDefault="00AA1CD2" w:rsidP="005C5644">
                  <w:pPr>
                    <w:jc w:val="center"/>
                    <w:rPr>
                      <w:rFonts w:ascii="Utah" w:hAnsi="Utah"/>
                      <w:b/>
                      <w:sz w:val="28"/>
                      <w:szCs w:val="28"/>
                    </w:rPr>
                  </w:pPr>
                  <w:r w:rsidRPr="0047655C">
                    <w:rPr>
                      <w:rFonts w:ascii="Utah" w:hAnsi="Utah"/>
                      <w:b/>
                      <w:sz w:val="28"/>
                      <w:szCs w:val="28"/>
                    </w:rPr>
                    <w:t>INTRODUCCIÓN</w:t>
                  </w:r>
                </w:p>
              </w:txbxContent>
            </v:textbox>
            <o:callout v:ext="edit" minusy="t"/>
          </v:roundrect>
        </w:pict>
      </w:r>
    </w:p>
    <w:p w:rsidR="004E002D" w:rsidRDefault="004E002D" w:rsidP="004E002D">
      <w:pPr>
        <w:rPr>
          <w:rFonts w:ascii="Berlin Sans FB Demi" w:hAnsi="Berlin Sans FB Demi"/>
          <w:sz w:val="48"/>
          <w:szCs w:val="48"/>
        </w:rPr>
      </w:pPr>
    </w:p>
    <w:p w:rsidR="004E002D" w:rsidRDefault="004E002D" w:rsidP="004E002D">
      <w:pPr>
        <w:jc w:val="center"/>
        <w:rPr>
          <w:rFonts w:ascii="Berlin Sans FB Demi" w:hAnsi="Berlin Sans FB Demi"/>
          <w:sz w:val="48"/>
          <w:szCs w:val="48"/>
        </w:rPr>
      </w:pPr>
    </w:p>
    <w:p w:rsidR="004E002D" w:rsidRPr="004E002D" w:rsidRDefault="002211BF" w:rsidP="004E002D">
      <w:p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  <w:lang w:eastAsia="es-ES"/>
        </w:rPr>
        <w:pict>
          <v:roundrect id="_x0000_s1033" style="position:absolute;margin-left:395.9pt;margin-top:36.4pt;width:131pt;height:27.15pt;z-index:251666432" arcsize="10923f" fillcolor="white [3201]" strokecolor="#4bacc6 [3208]" strokeweight="2.5pt">
            <v:shadow color="#868686"/>
            <o:extrusion v:ext="view" rotationangle="10"/>
            <v:textbox style="mso-next-textbox:#_x0000_s1033">
              <w:txbxContent>
                <w:p w:rsidR="0080509C" w:rsidRPr="0047655C" w:rsidRDefault="0080509C" w:rsidP="0047655C">
                  <w:pPr>
                    <w:jc w:val="center"/>
                    <w:rPr>
                      <w:rFonts w:ascii="Utah" w:hAnsi="Utah"/>
                      <w:b/>
                      <w:sz w:val="28"/>
                    </w:rPr>
                  </w:pPr>
                  <w:r w:rsidRPr="0047655C">
                    <w:rPr>
                      <w:rFonts w:ascii="Utah" w:hAnsi="Utah"/>
                      <w:b/>
                      <w:sz w:val="28"/>
                    </w:rPr>
                    <w:t>METODOLOGÍA</w:t>
                  </w:r>
                </w:p>
              </w:txbxContent>
            </v:textbox>
          </v:roundrect>
        </w:pict>
      </w:r>
    </w:p>
    <w:p w:rsidR="00AA1CD2" w:rsidRPr="004E002D" w:rsidRDefault="002211BF" w:rsidP="00AA1CD2">
      <w:pPr>
        <w:tabs>
          <w:tab w:val="left" w:pos="5170"/>
        </w:tabs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  <w:lang w:eastAsia="es-ES"/>
        </w:rPr>
        <w:pict>
          <v:rect id="_x0000_s1028" style="position:absolute;margin-left:-16.55pt;margin-top:12.25pt;width:553.5pt;height:114.1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80509C" w:rsidRPr="0080509C" w:rsidRDefault="0080509C" w:rsidP="0080509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El personal responsable es la </w:t>
                  </w:r>
                  <w:r w:rsidRPr="0080509C">
                    <w:rPr>
                      <w:rFonts w:ascii="Arial Narrow" w:hAnsi="Arial Narrow"/>
                      <w:b/>
                    </w:rPr>
                    <w:t>DUE</w:t>
                  </w:r>
                  <w:r>
                    <w:rPr>
                      <w:rFonts w:ascii="Arial Narrow" w:hAnsi="Arial Narrow"/>
                    </w:rPr>
                    <w:t xml:space="preserve"> del Banco de Sangre.</w:t>
                  </w:r>
                </w:p>
                <w:p w:rsidR="004E002D" w:rsidRDefault="004E002D" w:rsidP="0047451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474510">
                    <w:rPr>
                      <w:rFonts w:ascii="Arial Narrow" w:hAnsi="Arial Narrow"/>
                    </w:rPr>
                    <w:t>Se realiza panel de 11 células con suero o plasma del receptor a estudiar</w:t>
                  </w:r>
                  <w:r w:rsidR="0080509C">
                    <w:rPr>
                      <w:rFonts w:ascii="Arial Narrow" w:hAnsi="Arial Narrow"/>
                    </w:rPr>
                    <w:t xml:space="preserve"> (según procedimiento manual o automático)</w:t>
                  </w:r>
                  <w:r w:rsidRPr="00474510">
                    <w:rPr>
                      <w:rFonts w:ascii="Arial Narrow" w:hAnsi="Arial Narrow"/>
                    </w:rPr>
                    <w:t xml:space="preserve"> en tarjeta LISS- COOMBS</w:t>
                  </w:r>
                  <w:r w:rsidR="0080509C">
                    <w:rPr>
                      <w:rFonts w:ascii="Arial Narrow" w:hAnsi="Arial Narrow"/>
                    </w:rPr>
                    <w:t xml:space="preserve"> antig.G+C3d de 6 pocillos</w:t>
                  </w:r>
                  <w:r w:rsidRPr="00474510">
                    <w:rPr>
                      <w:rFonts w:ascii="Arial Narrow" w:hAnsi="Arial Narrow"/>
                    </w:rPr>
                    <w:t xml:space="preserve"> </w:t>
                  </w:r>
                  <w:r w:rsidRPr="008A78B0">
                    <w:rPr>
                      <w:rFonts w:ascii="Arial Narrow" w:hAnsi="Arial Narrow"/>
                      <w:b/>
                    </w:rPr>
                    <w:t>ID-DIAPANEL (DIAMED)</w:t>
                  </w:r>
                  <w:r w:rsidRPr="00474510">
                    <w:rPr>
                      <w:rFonts w:ascii="Arial Narrow" w:hAnsi="Arial Narrow"/>
                    </w:rPr>
                    <w:t>.</w:t>
                  </w:r>
                  <w:r w:rsidR="0080509C">
                    <w:rPr>
                      <w:rFonts w:ascii="Arial Narrow" w:hAnsi="Arial Narrow"/>
                    </w:rPr>
                    <w:t xml:space="preserve"> Puede incluir o no panel enzimático.</w:t>
                  </w:r>
                </w:p>
                <w:p w:rsidR="0080509C" w:rsidRPr="00474510" w:rsidRDefault="0080509C" w:rsidP="0047451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Sistema </w:t>
                  </w:r>
                  <w:r w:rsidR="00DB27BB">
                    <w:rPr>
                      <w:rFonts w:ascii="Arial Narrow" w:hAnsi="Arial Narrow"/>
                    </w:rPr>
                    <w:t>informático (DELPHYN) y archivo manual.</w:t>
                  </w:r>
                </w:p>
                <w:p w:rsidR="004E002D" w:rsidRPr="00474510" w:rsidRDefault="004E002D" w:rsidP="0047451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474510">
                    <w:rPr>
                      <w:rFonts w:ascii="Arial Narrow" w:hAnsi="Arial Narrow"/>
                    </w:rPr>
                    <w:t xml:space="preserve">Realización </w:t>
                  </w:r>
                  <w:r w:rsidR="00DB27BB">
                    <w:rPr>
                      <w:rFonts w:ascii="Arial Narrow" w:hAnsi="Arial Narrow"/>
                    </w:rPr>
                    <w:t>título para medir el nivel de Ac</w:t>
                  </w:r>
                  <w:r w:rsidRPr="00474510">
                    <w:rPr>
                      <w:rFonts w:ascii="Arial Narrow" w:hAnsi="Arial Narrow"/>
                    </w:rPr>
                    <w:t>.</w:t>
                  </w:r>
                </w:p>
                <w:p w:rsidR="004E002D" w:rsidRDefault="004E002D" w:rsidP="0047451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4E002D">
                    <w:rPr>
                      <w:rFonts w:ascii="Arial Narrow" w:hAnsi="Arial Narrow"/>
                    </w:rPr>
                    <w:t>Si el estudio no es concluyente, panel de 11 células (ORTHO) en tubo; envío de muestra a (CHEMCYL) o a Cataluña (B. de sangre y tejidos)</w:t>
                  </w:r>
                  <w:r w:rsidR="0080509C">
                    <w:rPr>
                      <w:rFonts w:ascii="Arial Narrow" w:hAnsi="Arial Narrow"/>
                    </w:rPr>
                    <w:t>.</w:t>
                  </w:r>
                </w:p>
                <w:p w:rsidR="0080509C" w:rsidRPr="0047655C" w:rsidRDefault="0080509C" w:rsidP="0047655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Se revisan durante un periodo de tres años paneles (+) y se </w:t>
                  </w:r>
                  <w:r w:rsidRPr="004E002D">
                    <w:rPr>
                      <w:rFonts w:ascii="Arial Narrow" w:hAnsi="Arial Narrow"/>
                    </w:rPr>
                    <w:t xml:space="preserve">excluyen estudios de </w:t>
                  </w:r>
                  <w:proofErr w:type="spellStart"/>
                  <w:r w:rsidRPr="004E002D">
                    <w:rPr>
                      <w:rFonts w:ascii="Arial Narrow" w:hAnsi="Arial Narrow"/>
                    </w:rPr>
                    <w:t>antiglobulina</w:t>
                  </w:r>
                  <w:proofErr w:type="spellEnd"/>
                  <w:r w:rsidRPr="004E002D">
                    <w:rPr>
                      <w:rFonts w:ascii="Arial Narrow" w:hAnsi="Arial Narrow"/>
                    </w:rPr>
                    <w:t xml:space="preserve"> directa (+) y </w:t>
                  </w:r>
                  <w:proofErr w:type="spellStart"/>
                  <w:r w:rsidRPr="004E002D">
                    <w:rPr>
                      <w:rFonts w:ascii="Arial Narrow" w:hAnsi="Arial Narrow"/>
                    </w:rPr>
                    <w:t>gestacionales</w:t>
                  </w:r>
                  <w:proofErr w:type="spellEnd"/>
                  <w:r w:rsidRPr="004E002D">
                    <w:rPr>
                      <w:rFonts w:ascii="Arial Narrow" w:hAnsi="Arial Narrow"/>
                    </w:rPr>
                    <w:t xml:space="preserve"> (+).</w:t>
                  </w:r>
                  <w:r w:rsidR="004E002D" w:rsidRPr="0047655C">
                    <w:rPr>
                      <w:rFonts w:ascii="Arial Narrow" w:hAnsi="Arial Narrow"/>
                    </w:rPr>
                    <w:t xml:space="preserve"> </w:t>
                  </w:r>
                </w:p>
                <w:p w:rsidR="004E002D" w:rsidRDefault="004E002D" w:rsidP="004E002D">
                  <w:pPr>
                    <w:spacing w:after="0"/>
                  </w:pPr>
                </w:p>
              </w:txbxContent>
            </v:textbox>
          </v:rect>
        </w:pict>
      </w:r>
      <w:r w:rsidR="00AA1CD2">
        <w:rPr>
          <w:rFonts w:ascii="Berlin Sans FB Demi" w:hAnsi="Berlin Sans FB Demi"/>
          <w:sz w:val="48"/>
          <w:szCs w:val="48"/>
        </w:rPr>
        <w:tab/>
      </w:r>
    </w:p>
    <w:p w:rsidR="004E002D" w:rsidRPr="004E002D" w:rsidRDefault="004E002D" w:rsidP="00AA1CD2">
      <w:pPr>
        <w:tabs>
          <w:tab w:val="left" w:pos="5170"/>
        </w:tabs>
        <w:rPr>
          <w:rFonts w:ascii="Berlin Sans FB Demi" w:hAnsi="Berlin Sans FB Demi"/>
          <w:sz w:val="48"/>
          <w:szCs w:val="48"/>
        </w:rPr>
      </w:pPr>
    </w:p>
    <w:p w:rsidR="004E002D" w:rsidRDefault="004E002D" w:rsidP="004E002D">
      <w:pPr>
        <w:rPr>
          <w:rFonts w:ascii="Berlin Sans FB Demi" w:hAnsi="Berlin Sans FB Demi"/>
          <w:sz w:val="48"/>
          <w:szCs w:val="48"/>
        </w:rPr>
      </w:pPr>
    </w:p>
    <w:p w:rsidR="004E002D" w:rsidRDefault="008F5485" w:rsidP="004E002D">
      <w:p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  <w:lang w:eastAsia="es-ES"/>
        </w:rPr>
        <w:pict>
          <v:rect id="_x0000_s1042" style="position:absolute;margin-left:67.5pt;margin-top:15.05pt;width:211.5pt;height:36.45pt;z-index:2516787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2">
              <w:txbxContent>
                <w:p w:rsidR="0083008A" w:rsidRPr="00E96145" w:rsidRDefault="00BB045F" w:rsidP="0083008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% mujeres/hombres con Ac</w:t>
                  </w:r>
                  <w:r w:rsidR="0083008A" w:rsidRPr="00E96145">
                    <w:rPr>
                      <w:rFonts w:ascii="Arial Narrow" w:hAnsi="Arial Narrow"/>
                    </w:rPr>
                    <w:t xml:space="preserve"> frecuentes.</w:t>
                  </w:r>
                </w:p>
                <w:p w:rsidR="0083008A" w:rsidRPr="0083008A" w:rsidRDefault="00BB045F" w:rsidP="0083008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Aparición de Ac</w:t>
                  </w:r>
                  <w:r w:rsidR="0083008A" w:rsidRPr="00E96145">
                    <w:rPr>
                      <w:rFonts w:ascii="Arial Narrow" w:hAnsi="Arial Narrow"/>
                    </w:rPr>
                    <w:t xml:space="preserve"> extraños.</w:t>
                  </w:r>
                </w:p>
              </w:txbxContent>
            </v:textbox>
          </v:rect>
        </w:pict>
      </w:r>
      <w:r>
        <w:rPr>
          <w:rFonts w:ascii="Berlin Sans FB Demi" w:hAnsi="Berlin Sans FB Demi"/>
          <w:noProof/>
          <w:sz w:val="48"/>
          <w:szCs w:val="48"/>
          <w:lang w:eastAsia="es-ES"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4819650</wp:posOffset>
            </wp:positionV>
            <wp:extent cx="4478655" cy="3143250"/>
            <wp:effectExtent l="19050" t="0" r="17145" b="0"/>
            <wp:wrapSquare wrapText="bothSides"/>
            <wp:docPr id="1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F1FB5">
        <w:rPr>
          <w:rFonts w:ascii="Berlin Sans FB Demi" w:hAnsi="Berlin Sans FB Demi"/>
          <w:noProof/>
          <w:sz w:val="48"/>
          <w:szCs w:val="48"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3420745</wp:posOffset>
            </wp:positionH>
            <wp:positionV relativeFrom="margin">
              <wp:posOffset>4423410</wp:posOffset>
            </wp:positionV>
            <wp:extent cx="3554730" cy="2396490"/>
            <wp:effectExtent l="19050" t="0" r="26670" b="381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B27BB">
        <w:rPr>
          <w:rFonts w:ascii="Berlin Sans FB Demi" w:hAnsi="Berlin Sans FB Demi"/>
          <w:noProof/>
          <w:sz w:val="48"/>
          <w:szCs w:val="48"/>
          <w:lang w:eastAsia="es-ES"/>
        </w:rPr>
        <w:pict>
          <v:roundrect id="_x0000_s1035" style="position:absolute;margin-left:-16.55pt;margin-top:15.05pt;width:115.7pt;height:21.5pt;z-index:251676672;mso-position-horizontal-relative:text;mso-position-vertical-relative:text" arcsize="10923f" fillcolor="white [3201]" strokecolor="#c0504d [3205]" strokeweight="2.5pt">
            <v:shadow color="#868686"/>
            <o:extrusion v:ext="view" rotationangle="15"/>
            <v:textbox style="mso-next-textbox:#_x0000_s1035">
              <w:txbxContent>
                <w:p w:rsidR="00E96145" w:rsidRPr="0078288B" w:rsidRDefault="00E96145" w:rsidP="008F5485">
                  <w:pPr>
                    <w:rPr>
                      <w:rFonts w:ascii="Utah" w:hAnsi="Utah"/>
                      <w:b/>
                    </w:rPr>
                  </w:pPr>
                  <w:r w:rsidRPr="0078288B">
                    <w:rPr>
                      <w:rFonts w:ascii="Utah" w:hAnsi="Utah"/>
                      <w:b/>
                    </w:rPr>
                    <w:t>RESULTADOS</w:t>
                  </w:r>
                </w:p>
              </w:txbxContent>
            </v:textbox>
          </v:roundrect>
        </w:pict>
      </w:r>
    </w:p>
    <w:p w:rsidR="00E96145" w:rsidRDefault="00E96145" w:rsidP="004E002D">
      <w:pPr>
        <w:tabs>
          <w:tab w:val="left" w:pos="5130"/>
        </w:tabs>
        <w:rPr>
          <w:rFonts w:ascii="Berlin Sans FB Demi" w:hAnsi="Berlin Sans FB Demi"/>
          <w:sz w:val="48"/>
          <w:szCs w:val="48"/>
        </w:rPr>
      </w:pPr>
    </w:p>
    <w:p w:rsidR="00E96145" w:rsidRDefault="005F1FB5" w:rsidP="0078288B">
      <w:pPr>
        <w:ind w:left="-284"/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  <w:lang w:eastAsia="es-ES"/>
        </w:rPr>
        <w:pict>
          <v:roundrect id="_x0000_s1039" style="position:absolute;left:0;text-align:left;margin-left:136.2pt;margin-top:5.7pt;width:30pt;height:86.95pt;rotation:90;z-index:251668480" arcsize="10923f" fillcolor="white [3201]" strokecolor="#f79646 [3209]" strokeweight="2.5pt">
            <v:shadow color="#868686"/>
            <o:extrusion v:ext="view" backdepth="1in" rotationangle="10" type="perspective"/>
            <v:textbox style="mso-next-textbox:#_x0000_s1039">
              <w:txbxContent>
                <w:p w:rsidR="00E96145" w:rsidRPr="00422321" w:rsidRDefault="00E96145">
                  <w:pPr>
                    <w:rPr>
                      <w:rFonts w:ascii="Utah" w:hAnsi="Utah"/>
                      <w:b/>
                    </w:rPr>
                  </w:pPr>
                  <w:r w:rsidRPr="00422321">
                    <w:rPr>
                      <w:rFonts w:ascii="Utah" w:hAnsi="Utah"/>
                      <w:b/>
                    </w:rPr>
                    <w:t>CONCLUSIÓN</w:t>
                  </w:r>
                </w:p>
              </w:txbxContent>
            </v:textbox>
          </v:roundrect>
        </w:pict>
      </w:r>
    </w:p>
    <w:p w:rsidR="00865043" w:rsidRPr="00E96145" w:rsidRDefault="006B04C5" w:rsidP="0078288B">
      <w:pPr>
        <w:tabs>
          <w:tab w:val="left" w:pos="4740"/>
          <w:tab w:val="left" w:pos="5812"/>
        </w:tabs>
        <w:ind w:left="-284"/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  <w:lang w:eastAsia="es-ES"/>
        </w:rPr>
        <w:pict>
          <v:roundrect id="_x0000_s1030" style="position:absolute;left:0;text-align:left;margin-left:-368.25pt;margin-top:23.05pt;width:563.6pt;height:95.95pt;z-index:251663360" arcsize="10929f" fillcolor="#f5750b">
            <v:fill color2="fill lighten(51)" angle="-45" focusposition=".5,.5" focussize="" method="linear sigma" focus="100%" type="gradient"/>
            <v:textbox style="mso-next-textbox:#_x0000_s1030">
              <w:txbxContent>
                <w:p w:rsidR="004E002D" w:rsidRPr="00E96145" w:rsidRDefault="004E002D" w:rsidP="00E9614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E96145">
                    <w:rPr>
                      <w:rFonts w:ascii="Arial Narrow" w:hAnsi="Arial Narrow"/>
                    </w:rPr>
                    <w:t xml:space="preserve">Hay </w:t>
                  </w:r>
                  <w:r w:rsidR="00E96145" w:rsidRPr="00E96145">
                    <w:rPr>
                      <w:rFonts w:ascii="Arial Narrow" w:hAnsi="Arial Narrow"/>
                    </w:rPr>
                    <w:t>diferencia</w:t>
                  </w:r>
                  <w:r w:rsidR="001D5FB8">
                    <w:rPr>
                      <w:rFonts w:ascii="Arial Narrow" w:hAnsi="Arial Narrow"/>
                    </w:rPr>
                    <w:t xml:space="preserve"> entre ambos grupos (</w:t>
                  </w:r>
                  <w:r w:rsidRPr="00E96145">
                    <w:rPr>
                      <w:rFonts w:ascii="Arial Narrow" w:hAnsi="Arial Narrow"/>
                    </w:rPr>
                    <w:t>relacionado embarazos)</w:t>
                  </w:r>
                  <w:r w:rsidR="001D5FB8">
                    <w:rPr>
                      <w:rFonts w:ascii="Arial Narrow" w:hAnsi="Arial Narrow"/>
                    </w:rPr>
                    <w:t>.</w:t>
                  </w:r>
                  <w:r w:rsidR="006B04C5">
                    <w:rPr>
                      <w:rFonts w:ascii="Arial Narrow" w:hAnsi="Arial Narrow"/>
                    </w:rPr>
                    <w:t>El resultado de anticuerpos anti-D concuerda con bibliografía conocida.</w:t>
                  </w:r>
                </w:p>
                <w:p w:rsidR="004E002D" w:rsidRPr="00E96145" w:rsidRDefault="004E002D" w:rsidP="00E9614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E96145">
                    <w:rPr>
                      <w:rFonts w:ascii="Arial Narrow" w:hAnsi="Arial Narrow"/>
                      <w:lang w:val="en-US"/>
                    </w:rPr>
                    <w:t>AC “</w:t>
                  </w:r>
                  <w:proofErr w:type="spellStart"/>
                  <w:r w:rsidRPr="00E96145">
                    <w:rPr>
                      <w:rFonts w:ascii="Arial Narrow" w:hAnsi="Arial Narrow"/>
                      <w:lang w:val="en-US"/>
                    </w:rPr>
                    <w:t>extraños</w:t>
                  </w:r>
                  <w:proofErr w:type="spellEnd"/>
                  <w:r w:rsidRPr="00E96145">
                    <w:rPr>
                      <w:rFonts w:ascii="Arial Narrow" w:hAnsi="Arial Narrow"/>
                      <w:lang w:val="en-US"/>
                    </w:rPr>
                    <w:t xml:space="preserve">”: (I) </w:t>
                  </w:r>
                  <m:oMath>
                    <m:sSup>
                      <m:sSupPr>
                        <m:ctrlPr>
                          <w:rPr>
                            <w:rFonts w:ascii="Cambria Math" w:hAnsi="Arial Narrow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p>
                    </m:sSup>
                  </m:oMath>
                  <w:r w:rsidRPr="00E96145">
                    <w:rPr>
                      <w:rFonts w:ascii="Arial Narrow" w:eastAsiaTheme="minorEastAsia" w:hAnsi="Arial Narrow"/>
                      <w:lang w:val="en-US"/>
                    </w:rPr>
                    <w:t>; (I) Cw</w:t>
                  </w:r>
                  <w:r w:rsidR="00E96145" w:rsidRPr="00E96145">
                    <w:rPr>
                      <w:rFonts w:ascii="Arial Narrow" w:eastAsiaTheme="minorEastAsia" w:hAnsi="Arial Narrow"/>
                      <w:lang w:val="en-US"/>
                    </w:rPr>
                    <w:t xml:space="preserve">. </w:t>
                  </w:r>
                  <w:r w:rsidR="00E96145" w:rsidRPr="00E96145">
                    <w:rPr>
                      <w:rFonts w:ascii="Arial Narrow" w:eastAsiaTheme="minorEastAsia" w:hAnsi="Arial Narrow"/>
                    </w:rPr>
                    <w:t xml:space="preserve">Dada la rareza del AC identificado ANTI- </w:t>
                  </w:r>
                  <w:proofErr w:type="spellStart"/>
                  <w:r w:rsidR="00E96145" w:rsidRPr="00E96145">
                    <w:rPr>
                      <w:rFonts w:ascii="Arial Narrow" w:eastAsiaTheme="minorEastAsia" w:hAnsi="Arial Narrow"/>
                    </w:rPr>
                    <w:t>xga</w:t>
                  </w:r>
                  <w:proofErr w:type="spellEnd"/>
                  <w:r w:rsidR="00E96145" w:rsidRPr="00E96145">
                    <w:rPr>
                      <w:rFonts w:ascii="Arial Narrow" w:eastAsiaTheme="minorEastAsia" w:hAnsi="Arial Narrow"/>
                    </w:rPr>
                    <w:t xml:space="preserve"> se decide remitir estudio a CHEMCYL, que a su vez pide ampliación de estudio a Banco de Sangre y Tejidos a Cataluña.</w:t>
                  </w:r>
                </w:p>
                <w:p w:rsidR="004E002D" w:rsidRPr="0083008A" w:rsidRDefault="004E002D" w:rsidP="0083008A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E96145">
                    <w:rPr>
                      <w:rFonts w:ascii="Arial Narrow" w:hAnsi="Arial Narrow"/>
                    </w:rPr>
                    <w:t>Estos datos se refieren a una s</w:t>
                  </w:r>
                  <w:r w:rsidR="006B04C5">
                    <w:rPr>
                      <w:rFonts w:ascii="Arial Narrow" w:hAnsi="Arial Narrow"/>
                    </w:rPr>
                    <w:t>erie corta de pacientes</w:t>
                  </w:r>
                  <w:r w:rsidRPr="00E96145">
                    <w:rPr>
                      <w:rFonts w:ascii="Arial Narrow" w:hAnsi="Arial Narrow"/>
                    </w:rPr>
                    <w:t xml:space="preserve"> que sería correcto ampliar el estudio a más población para nuestras conclusiones.</w:t>
                  </w:r>
                </w:p>
              </w:txbxContent>
            </v:textbox>
          </v:roundrect>
        </w:pict>
      </w:r>
      <w:r>
        <w:rPr>
          <w:rFonts w:ascii="Berlin Sans FB Demi" w:hAnsi="Berlin Sans FB Demi"/>
          <w:noProof/>
          <w:sz w:val="48"/>
          <w:szCs w:val="48"/>
          <w:lang w:eastAsia="es-ES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5646420</wp:posOffset>
            </wp:positionH>
            <wp:positionV relativeFrom="margin">
              <wp:posOffset>9460865</wp:posOffset>
            </wp:positionV>
            <wp:extent cx="1467485" cy="711200"/>
            <wp:effectExtent l="133350" t="38100" r="75565" b="69850"/>
            <wp:wrapSquare wrapText="bothSides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l="12000" t="15789" r="68706" b="68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711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noProof/>
          <w:sz w:val="48"/>
          <w:szCs w:val="48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4796155</wp:posOffset>
            </wp:positionH>
            <wp:positionV relativeFrom="margin">
              <wp:posOffset>9881235</wp:posOffset>
            </wp:positionV>
            <wp:extent cx="647700" cy="297180"/>
            <wp:effectExtent l="76200" t="19050" r="0" b="45720"/>
            <wp:wrapSquare wrapText="bothSides"/>
            <wp:docPr id="2" name="1 Imagen" descr="SACY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YL-LOGO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971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96145">
        <w:rPr>
          <w:rFonts w:ascii="Berlin Sans FB Demi" w:hAnsi="Berlin Sans FB Demi"/>
          <w:sz w:val="48"/>
          <w:szCs w:val="48"/>
        </w:rPr>
        <w:tab/>
      </w:r>
    </w:p>
    <w:sectPr w:rsidR="00865043" w:rsidRPr="00E96145" w:rsidSect="009A078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C2" w:rsidRDefault="00350BC2" w:rsidP="00474510">
      <w:pPr>
        <w:spacing w:after="0" w:line="240" w:lineRule="auto"/>
      </w:pPr>
      <w:r>
        <w:separator/>
      </w:r>
    </w:p>
  </w:endnote>
  <w:endnote w:type="continuationSeparator" w:id="0">
    <w:p w:rsidR="00350BC2" w:rsidRDefault="00350BC2" w:rsidP="0047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Utah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B8" w:rsidRDefault="002211BF" w:rsidP="001D5FB8">
    <w:pPr>
      <w:pStyle w:val="Footer"/>
      <w:rPr>
        <w:i/>
      </w:rPr>
    </w:pPr>
    <w:r>
      <w:rPr>
        <w:i/>
        <w:noProof/>
        <w:lang w:eastAsia="es-ES"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2049" type="#_x0000_t109" style="position:absolute;margin-left:-32.5pt;margin-top:4.45pt;width:256pt;height:38.5pt;z-index:251658240">
          <v:textbox style="mso-next-textbox:#_x0000_s2049">
            <w:txbxContent>
              <w:p w:rsidR="00AB0622" w:rsidRPr="00AB0622" w:rsidRDefault="00AB0622" w:rsidP="00AB0622">
                <w:pPr>
                  <w:pStyle w:val="Footer"/>
                  <w:rPr>
                    <w:rFonts w:ascii="Arial Narrow" w:hAnsi="Arial Narrow"/>
                    <w:i/>
                    <w:color w:val="000000" w:themeColor="text1"/>
                    <w:sz w:val="18"/>
                    <w:szCs w:val="18"/>
                  </w:rPr>
                </w:pPr>
                <w:r w:rsidRPr="00AB0622">
                  <w:rPr>
                    <w:rFonts w:ascii="Arial Narrow" w:hAnsi="Arial Narrow"/>
                    <w:i/>
                    <w:color w:val="000000" w:themeColor="text1"/>
                    <w:sz w:val="18"/>
                    <w:szCs w:val="18"/>
                  </w:rPr>
                  <w:t>Autora: Alicia marcos Yagüe</w:t>
                </w:r>
              </w:p>
              <w:p w:rsidR="00AB0622" w:rsidRPr="00AB0622" w:rsidRDefault="00AB0622" w:rsidP="00AB0622">
                <w:pPr>
                  <w:pStyle w:val="Footer"/>
                  <w:rPr>
                    <w:rFonts w:ascii="Arial Narrow" w:hAnsi="Arial Narrow"/>
                    <w:i/>
                    <w:color w:val="000000" w:themeColor="text1"/>
                    <w:sz w:val="18"/>
                    <w:szCs w:val="18"/>
                  </w:rPr>
                </w:pPr>
                <w:r w:rsidRPr="00AB0622">
                  <w:rPr>
                    <w:rFonts w:ascii="Arial Narrow" w:hAnsi="Arial Narrow"/>
                    <w:i/>
                    <w:color w:val="000000" w:themeColor="text1"/>
                    <w:sz w:val="18"/>
                    <w:szCs w:val="18"/>
                  </w:rPr>
                  <w:t xml:space="preserve">Facultativo responsable del servicio de transfusión: Fernando </w:t>
                </w:r>
                <w:proofErr w:type="spellStart"/>
                <w:r w:rsidRPr="00AB0622">
                  <w:rPr>
                    <w:rFonts w:ascii="Arial Narrow" w:hAnsi="Arial Narrow"/>
                    <w:i/>
                    <w:color w:val="000000" w:themeColor="text1"/>
                    <w:sz w:val="18"/>
                    <w:szCs w:val="18"/>
                  </w:rPr>
                  <w:t>Sevil</w:t>
                </w:r>
                <w:proofErr w:type="spellEnd"/>
                <w:r w:rsidRPr="00AB0622">
                  <w:rPr>
                    <w:rFonts w:ascii="Arial Narrow" w:hAnsi="Arial Narrow"/>
                    <w:i/>
                    <w:color w:val="000000" w:themeColor="text1"/>
                    <w:sz w:val="18"/>
                    <w:szCs w:val="18"/>
                  </w:rPr>
                  <w:t xml:space="preserve"> Puras</w:t>
                </w:r>
              </w:p>
              <w:p w:rsidR="00AB0622" w:rsidRPr="00AB0622" w:rsidRDefault="00AB0622" w:rsidP="00AB0622">
                <w:pPr>
                  <w:pStyle w:val="Footer"/>
                  <w:rPr>
                    <w:rFonts w:ascii="Arial Narrow" w:hAnsi="Arial Narrow"/>
                    <w:i/>
                    <w:color w:val="000000" w:themeColor="text1"/>
                    <w:sz w:val="18"/>
                    <w:szCs w:val="18"/>
                  </w:rPr>
                </w:pPr>
                <w:r w:rsidRPr="00AB0622">
                  <w:rPr>
                    <w:rFonts w:ascii="Arial Narrow" w:hAnsi="Arial Narrow"/>
                    <w:i/>
                    <w:color w:val="000000" w:themeColor="text1"/>
                    <w:sz w:val="18"/>
                    <w:szCs w:val="18"/>
                  </w:rPr>
                  <w:t xml:space="preserve">Complejo Hospitalario de Soria, </w:t>
                </w:r>
                <w:r w:rsidRPr="00AB0622">
                  <w:rPr>
                    <w:rFonts w:ascii="Arial Narrow" w:hAnsi="Arial Narrow"/>
                    <w:b/>
                    <w:i/>
                    <w:color w:val="000000" w:themeColor="text1"/>
                    <w:sz w:val="18"/>
                    <w:szCs w:val="18"/>
                  </w:rPr>
                  <w:t>HOSPITAL SANTA BÁRBARA</w:t>
                </w:r>
              </w:p>
              <w:p w:rsidR="00AB0622" w:rsidRDefault="00AB0622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C2" w:rsidRDefault="00350BC2" w:rsidP="00474510">
      <w:pPr>
        <w:spacing w:after="0" w:line="240" w:lineRule="auto"/>
      </w:pPr>
      <w:r>
        <w:separator/>
      </w:r>
    </w:p>
  </w:footnote>
  <w:footnote w:type="continuationSeparator" w:id="0">
    <w:p w:rsidR="00350BC2" w:rsidRDefault="00350BC2" w:rsidP="0047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FC5"/>
    <w:multiLevelType w:val="hybridMultilevel"/>
    <w:tmpl w:val="8F402B7E"/>
    <w:lvl w:ilvl="0" w:tplc="4B36B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E3952"/>
    <w:multiLevelType w:val="hybridMultilevel"/>
    <w:tmpl w:val="D30AAB0E"/>
    <w:lvl w:ilvl="0" w:tplc="DFA2EFC8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95177D"/>
    <w:multiLevelType w:val="hybridMultilevel"/>
    <w:tmpl w:val="4BB494C8"/>
    <w:lvl w:ilvl="0" w:tplc="A3102A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E17FE"/>
    <w:multiLevelType w:val="hybridMultilevel"/>
    <w:tmpl w:val="6D9A0D4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F6E45"/>
    <w:multiLevelType w:val="hybridMultilevel"/>
    <w:tmpl w:val="60C4B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E448B"/>
    <w:multiLevelType w:val="hybridMultilevel"/>
    <w:tmpl w:val="4BB494C8"/>
    <w:lvl w:ilvl="0" w:tplc="A3102A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369B0"/>
    <w:multiLevelType w:val="hybridMultilevel"/>
    <w:tmpl w:val="D6B462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A87589"/>
    <w:multiLevelType w:val="hybridMultilevel"/>
    <w:tmpl w:val="9724E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aqua,#b00de3,#f5750b,#efa263,#ff5050,#ff9,#f77dee,#ffff81"/>
      <o:colormenu v:ext="edit" fillcolor="#f5750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043"/>
    <w:rsid w:val="001D5FB8"/>
    <w:rsid w:val="002211BF"/>
    <w:rsid w:val="00331F5B"/>
    <w:rsid w:val="00350BC2"/>
    <w:rsid w:val="0036600A"/>
    <w:rsid w:val="00422321"/>
    <w:rsid w:val="00474510"/>
    <w:rsid w:val="0047655C"/>
    <w:rsid w:val="004E002D"/>
    <w:rsid w:val="005C5644"/>
    <w:rsid w:val="005F1FB5"/>
    <w:rsid w:val="00602374"/>
    <w:rsid w:val="006B04C5"/>
    <w:rsid w:val="006D2A79"/>
    <w:rsid w:val="00754D0C"/>
    <w:rsid w:val="0078288B"/>
    <w:rsid w:val="007A4CA6"/>
    <w:rsid w:val="0080509C"/>
    <w:rsid w:val="008217B9"/>
    <w:rsid w:val="0083008A"/>
    <w:rsid w:val="00865043"/>
    <w:rsid w:val="008A78B0"/>
    <w:rsid w:val="008F5485"/>
    <w:rsid w:val="00924C29"/>
    <w:rsid w:val="009A0783"/>
    <w:rsid w:val="00AA1CD2"/>
    <w:rsid w:val="00AB0622"/>
    <w:rsid w:val="00BB045F"/>
    <w:rsid w:val="00BF4D91"/>
    <w:rsid w:val="00DB27BB"/>
    <w:rsid w:val="00DE59F9"/>
    <w:rsid w:val="00E96145"/>
    <w:rsid w:val="00F1778F"/>
    <w:rsid w:val="00F6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aqua,#b00de3,#f5750b,#efa263,#ff5050,#ff9,#f77dee,#ffff81"/>
      <o:colormenu v:ext="edit" fillcolor="#f5750b"/>
    </o:shapedefaults>
    <o:shapelayout v:ext="edit">
      <o:idmap v:ext="edit" data="1"/>
      <o:rules v:ext="edit">
        <o:r id="V:Rule1" type="callout" idref="#_x0000_s1030"/>
        <o:r id="V:Rule2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02D"/>
    <w:pPr>
      <w:ind w:left="720"/>
      <w:contextualSpacing/>
    </w:pPr>
  </w:style>
  <w:style w:type="table" w:styleId="TableGrid">
    <w:name w:val="Table Grid"/>
    <w:basedOn w:val="TableNormal"/>
    <w:uiPriority w:val="59"/>
    <w:rsid w:val="00AA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4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510"/>
  </w:style>
  <w:style w:type="paragraph" w:styleId="Footer">
    <w:name w:val="footer"/>
    <w:basedOn w:val="Normal"/>
    <w:link w:val="FooterChar"/>
    <w:uiPriority w:val="99"/>
    <w:unhideWhenUsed/>
    <w:rsid w:val="00474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image" Target="media/image1.jpeg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GR&#193;FICO%20ANTICUERPOS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GR&#193;FICO%20ANTICUERPOS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Mujeres</a:t>
            </a:r>
          </a:p>
        </c:rich>
      </c:tx>
      <c:layout>
        <c:manualLayout>
          <c:xMode val="edge"/>
          <c:yMode val="edge"/>
          <c:x val="0.58392374496361066"/>
          <c:y val="3.939772916881858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Hombres</c:v>
          </c:tx>
          <c:dLbls>
            <c:showPercent val="1"/>
            <c:showLeaderLines val="1"/>
          </c:dLbls>
          <c:cat>
            <c:strRef>
              <c:f>Hoja1!$D$3:$W$3</c:f>
              <c:strCache>
                <c:ptCount val="20"/>
                <c:pt idx="0">
                  <c:v>ANTI-D-C</c:v>
                </c:pt>
                <c:pt idx="1">
                  <c:v>ANTI-D</c:v>
                </c:pt>
                <c:pt idx="2">
                  <c:v>ANTI-K</c:v>
                </c:pt>
                <c:pt idx="3">
                  <c:v>ANTI-E-S</c:v>
                </c:pt>
                <c:pt idx="4">
                  <c:v>ANTI-E</c:v>
                </c:pt>
                <c:pt idx="5">
                  <c:v>ANTI-JKb</c:v>
                </c:pt>
                <c:pt idx="6">
                  <c:v>ANTI-c</c:v>
                </c:pt>
                <c:pt idx="7">
                  <c:v>ANTI-Fya</c:v>
                </c:pt>
                <c:pt idx="8">
                  <c:v>ANTI-K-E</c:v>
                </c:pt>
                <c:pt idx="9">
                  <c:v>ANTI-E-K</c:v>
                </c:pt>
                <c:pt idx="10">
                  <c:v>ANTI-M</c:v>
                </c:pt>
                <c:pt idx="11">
                  <c:v>ANTI-K-Jka</c:v>
                </c:pt>
                <c:pt idx="12">
                  <c:v>ANTI-S-Fya</c:v>
                </c:pt>
                <c:pt idx="13">
                  <c:v>CRIO</c:v>
                </c:pt>
                <c:pt idx="14">
                  <c:v>ANTI-D-M</c:v>
                </c:pt>
                <c:pt idx="15">
                  <c:v>ANTI-C-A</c:v>
                </c:pt>
                <c:pt idx="16">
                  <c:v>ANTI-K-M CRIO</c:v>
                </c:pt>
                <c:pt idx="17">
                  <c:v>ANTI-K-Jka-E</c:v>
                </c:pt>
                <c:pt idx="18">
                  <c:v>ANTI-Fya</c:v>
                </c:pt>
                <c:pt idx="19">
                  <c:v>ANTI-LUa</c:v>
                </c:pt>
              </c:strCache>
            </c:strRef>
          </c:cat>
          <c:val>
            <c:numRef>
              <c:f>Hoja1!$D$5:$W$5</c:f>
              <c:numCache>
                <c:formatCode>0.00%</c:formatCode>
                <c:ptCount val="20"/>
                <c:pt idx="0">
                  <c:v>4.761904761904763E-2</c:v>
                </c:pt>
                <c:pt idx="1">
                  <c:v>0.26984126984126988</c:v>
                </c:pt>
                <c:pt idx="2">
                  <c:v>0.1587301587301588</c:v>
                </c:pt>
                <c:pt idx="3">
                  <c:v>1.5873015873015879E-2</c:v>
                </c:pt>
                <c:pt idx="4">
                  <c:v>0.14285714285714296</c:v>
                </c:pt>
                <c:pt idx="5">
                  <c:v>1.5873015873015879E-2</c:v>
                </c:pt>
                <c:pt idx="6">
                  <c:v>7.9365079365079388E-2</c:v>
                </c:pt>
                <c:pt idx="7">
                  <c:v>1.5873015873015879E-2</c:v>
                </c:pt>
                <c:pt idx="8">
                  <c:v>1.5873015873015879E-2</c:v>
                </c:pt>
                <c:pt idx="9">
                  <c:v>1.5873015873015879E-2</c:v>
                </c:pt>
                <c:pt idx="10">
                  <c:v>4.761904761904763E-2</c:v>
                </c:pt>
                <c:pt idx="11">
                  <c:v>3.1746031746031744E-2</c:v>
                </c:pt>
                <c:pt idx="12">
                  <c:v>1.5873015873015879E-2</c:v>
                </c:pt>
                <c:pt idx="13">
                  <c:v>3.1746031746031744E-2</c:v>
                </c:pt>
                <c:pt idx="14">
                  <c:v>1.5873015873015879E-2</c:v>
                </c:pt>
                <c:pt idx="15">
                  <c:v>1.5873015873015879E-2</c:v>
                </c:pt>
                <c:pt idx="16">
                  <c:v>1.5873015873015879E-2</c:v>
                </c:pt>
                <c:pt idx="17">
                  <c:v>1.5873015873015879E-2</c:v>
                </c:pt>
                <c:pt idx="18">
                  <c:v>1.5873015873015879E-2</c:v>
                </c:pt>
                <c:pt idx="19">
                  <c:v>1.5873015873015879E-2</c:v>
                </c:pt>
              </c:numCache>
            </c:numRef>
          </c:val>
        </c:ser>
        <c:dLbls>
          <c:showPercent val="1"/>
        </c:dLbls>
      </c:pie3DChart>
    </c:plotArea>
    <c:legend>
      <c:legendPos val="b"/>
      <c:layout>
        <c:manualLayout>
          <c:xMode val="edge"/>
          <c:yMode val="edge"/>
          <c:x val="2.7057453632842884E-2"/>
          <c:y val="0.64126905932923872"/>
          <c:w val="0.84380064997192239"/>
          <c:h val="0.33451297901586746"/>
        </c:manualLayout>
      </c:layout>
      <c:txPr>
        <a:bodyPr/>
        <a:lstStyle/>
        <a:p>
          <a:pPr>
            <a:defRPr sz="900"/>
          </a:pPr>
          <a:endParaRPr lang="es-ES"/>
        </a:p>
      </c:txPr>
    </c:legend>
    <c:plotVisOnly val="1"/>
    <c:dispBlanksAs val="zero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Hombres</a:t>
            </a:r>
          </a:p>
        </c:rich>
      </c:tx>
      <c:layout>
        <c:manualLayout>
          <c:xMode val="edge"/>
          <c:yMode val="edge"/>
          <c:x val="0.73275238718484581"/>
          <c:y val="2.849004127242359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176590805540434"/>
          <c:y val="0.27195270364393181"/>
          <c:w val="0.79646818388919138"/>
          <c:h val="0.33932645065465195"/>
        </c:manualLayout>
      </c:layout>
      <c:pie3DChart>
        <c:varyColors val="1"/>
        <c:ser>
          <c:idx val="0"/>
          <c:order val="0"/>
          <c:tx>
            <c:v>Mujeres</c:v>
          </c:tx>
          <c:dLbls>
            <c:showVal val="1"/>
            <c:showLeaderLines val="1"/>
          </c:dLbls>
          <c:cat>
            <c:strRef>
              <c:f>Hoja1!$D$66:$U$66</c:f>
              <c:strCache>
                <c:ptCount val="18"/>
                <c:pt idx="0">
                  <c:v>ANTI-D-C</c:v>
                </c:pt>
                <c:pt idx="1">
                  <c:v>ANTI-E</c:v>
                </c:pt>
                <c:pt idx="2">
                  <c:v>Lua</c:v>
                </c:pt>
                <c:pt idx="3">
                  <c:v>ANTI-S</c:v>
                </c:pt>
                <c:pt idx="4">
                  <c:v>CRIO</c:v>
                </c:pt>
                <c:pt idx="5">
                  <c:v>ANTI-D</c:v>
                </c:pt>
                <c:pt idx="6">
                  <c:v>ANTI-M</c:v>
                </c:pt>
                <c:pt idx="7">
                  <c:v>ANTI-Fya</c:v>
                </c:pt>
                <c:pt idx="8">
                  <c:v>ANTI-e</c:v>
                </c:pt>
                <c:pt idx="9">
                  <c:v>ANTI-Jka</c:v>
                </c:pt>
                <c:pt idx="10">
                  <c:v>ANTI-Lua</c:v>
                </c:pt>
                <c:pt idx="11">
                  <c:v>ANTI-C</c:v>
                </c:pt>
                <c:pt idx="12">
                  <c:v>ANTI-Xga</c:v>
                </c:pt>
                <c:pt idx="13">
                  <c:v>ANTI-Kpa</c:v>
                </c:pt>
                <c:pt idx="14">
                  <c:v>ANTI-K</c:v>
                </c:pt>
                <c:pt idx="15">
                  <c:v>ANTI-K-S</c:v>
                </c:pt>
                <c:pt idx="16">
                  <c:v>Cw</c:v>
                </c:pt>
                <c:pt idx="17">
                  <c:v>ANTI-Lea</c:v>
                </c:pt>
              </c:strCache>
            </c:strRef>
          </c:cat>
          <c:val>
            <c:numRef>
              <c:f>Hoja1!$D$68:$U$68</c:f>
              <c:numCache>
                <c:formatCode>0.00%</c:formatCode>
                <c:ptCount val="18"/>
                <c:pt idx="0">
                  <c:v>0.05</c:v>
                </c:pt>
                <c:pt idx="1">
                  <c:v>0.2</c:v>
                </c:pt>
                <c:pt idx="2">
                  <c:v>2.5000000000000001E-2</c:v>
                </c:pt>
                <c:pt idx="3">
                  <c:v>2.5000000000000001E-2</c:v>
                </c:pt>
                <c:pt idx="4">
                  <c:v>7.5000000000000011E-2</c:v>
                </c:pt>
                <c:pt idx="5">
                  <c:v>0.125</c:v>
                </c:pt>
                <c:pt idx="6">
                  <c:v>0.1</c:v>
                </c:pt>
                <c:pt idx="7">
                  <c:v>2.5000000000000001E-2</c:v>
                </c:pt>
                <c:pt idx="8">
                  <c:v>0.05</c:v>
                </c:pt>
                <c:pt idx="9">
                  <c:v>2.5000000000000001E-2</c:v>
                </c:pt>
                <c:pt idx="10">
                  <c:v>7.5000000000000011E-2</c:v>
                </c:pt>
                <c:pt idx="11">
                  <c:v>2.5000000000000001E-2</c:v>
                </c:pt>
                <c:pt idx="12">
                  <c:v>2.5000000000000001E-2</c:v>
                </c:pt>
                <c:pt idx="13">
                  <c:v>2.5000000000000001E-2</c:v>
                </c:pt>
                <c:pt idx="14">
                  <c:v>7.5000000000000011E-2</c:v>
                </c:pt>
                <c:pt idx="15">
                  <c:v>2.5000000000000001E-2</c:v>
                </c:pt>
                <c:pt idx="16">
                  <c:v>2.5000000000000001E-2</c:v>
                </c:pt>
                <c:pt idx="17">
                  <c:v>2.5000000000000001E-2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1.1172236178252519E-2"/>
          <c:y val="0.71464240062920414"/>
          <c:w val="0.98215983055737388"/>
          <c:h val="0.2654320683007238"/>
        </c:manualLayout>
      </c:layout>
      <c:txPr>
        <a:bodyPr/>
        <a:lstStyle/>
        <a:p>
          <a:pPr>
            <a:defRPr sz="800"/>
          </a:pPr>
          <a:endParaRPr lang="es-E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1E64B-CEA9-46C0-AC0E-35F56AF3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Corporate Edition</cp:lastModifiedBy>
  <cp:revision>6</cp:revision>
  <dcterms:created xsi:type="dcterms:W3CDTF">2013-09-14T17:15:00Z</dcterms:created>
  <dcterms:modified xsi:type="dcterms:W3CDTF">2013-09-14T17:46:00Z</dcterms:modified>
</cp:coreProperties>
</file>